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ccf2ab0ea944796" /><Relationship Type="http://schemas.openxmlformats.org/package/2006/relationships/metadata/core-properties" Target="/package/services/metadata/core-properties/194ed23aa12143eab8534f67d61cab4d.psmdcp" Id="R3c22d1e76a8a429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1FD5" w:rsidR="00D36658" w:rsidP="00B71FD5" w:rsidRDefault="00E23389">
      <w:pPr>
        <w:pStyle w:val="1"/>
      </w:pPr>
      <w:bookmarkStart w:name="_GoBack" w:id="0"/>
      <w:bookmarkEnd w:id="0"/>
      <w:r w:rsidRPr="00B71FD5">
        <w:t>Рабочая программа</w:t>
      </w:r>
    </w:p>
    <w:p w:rsidRPr="00B71FD5" w:rsidR="00E23389" w:rsidP="00B71FD5" w:rsidRDefault="00E23389">
      <w:pPr>
        <w:pStyle w:val="1"/>
      </w:pPr>
      <w:r w:rsidRPr="00B71FD5">
        <w:t>по дисциплине «Патология»</w:t>
      </w:r>
    </w:p>
    <w:p w:rsidRPr="00B71FD5" w:rsidR="00E23389" w:rsidP="00B71FD5" w:rsidRDefault="00E23389">
      <w:pPr>
        <w:pStyle w:val="1"/>
        <w:rPr>
          <w:sz w:val="24"/>
          <w:szCs w:val="24"/>
        </w:rPr>
      </w:pPr>
    </w:p>
    <w:p w:rsidRPr="00B71FD5" w:rsidR="00E23389" w:rsidP="00B71FD5" w:rsidRDefault="00E23389">
      <w:pPr>
        <w:pStyle w:val="2"/>
      </w:pPr>
      <w:r w:rsidRPr="00B71FD5">
        <w:t>Разработчики рабочей программы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Гончар-Зайкин Александр Петрович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Ершов Вадим Иванович</w:t>
      </w:r>
    </w:p>
    <w:p w:rsidRPr="00B71FD5" w:rsidR="00E23389" w:rsidP="007915A4" w:rsidRDefault="00E23389">
      <w:pPr>
        <w:pStyle w:val="a3"/>
        <w:numPr>
          <w:ilvl w:val="0"/>
          <w:numId w:val="2"/>
        </w:numPr>
      </w:pPr>
      <w:bookmarkStart w:name="_GoBack" w:id="0"/>
      <w:r w:rsidRPr="00B71FD5">
        <w:t>Назаров Александр Михайлович</w:t>
      </w:r>
    </w:p>
    <w:p w:rsidRPr="00B71FD5" w:rsidR="00E23389" w:rsidP="00B71FD5" w:rsidRDefault="00E23389"/>
    <w:p w:rsidRPr="00B71FD5" w:rsidR="00E23389" w:rsidP="00B71FD5" w:rsidRDefault="00E23389">
      <w:pPr>
        <w:pStyle w:val="2"/>
      </w:pPr>
      <w:r w:rsidRPr="00B71FD5">
        <w:t>1. Трудоёмкость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12757"/>
        <w:gridCol w:w="1949"/>
      </w:tblGrid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center"/>
            </w:pPr>
            <w:r w:rsidRPr="00B71FD5">
              <w:t>№</w:t>
            </w:r>
          </w:p>
        </w:tc>
        <w:tc>
          <w:tcPr>
            <w:tcW w:w="12757" w:type="dxa"/>
          </w:tcPr>
          <w:p w:rsidRPr="00B71FD5" w:rsidR="00E23389" w:rsidP="00B71FD5" w:rsidRDefault="00E23389">
            <w:pPr>
              <w:jc w:val="center"/>
            </w:pPr>
            <w:r w:rsidRPr="00B71FD5">
              <w:t>Виды образовательной деятельности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center"/>
            </w:pPr>
            <w:r w:rsidRPr="00B71FD5">
              <w:t>Часы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1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Лекции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2,00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2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Практические занятия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14,00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3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Контроль самостоятельной работы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8,00</w:t>
            </w:r>
          </w:p>
        </w:tc>
      </w:tr>
      <w:tr w:rsidRPr="00B71FD5" w:rsidR="00E23389" w:rsidTr="00E23389">
        <w:tc>
          <w:tcPr>
            <w:tcW w:w="988" w:type="dxa"/>
          </w:tcPr>
          <w:p w:rsidRPr="00B71FD5" w:rsidR="00E23389" w:rsidP="00B71FD5" w:rsidRDefault="00E23389">
            <w:pPr>
              <w:jc w:val="right"/>
            </w:pPr>
            <w:r w:rsidRPr="00B71FD5">
              <w:t>4</w:t>
            </w:r>
          </w:p>
        </w:tc>
        <w:tc>
          <w:tcPr>
            <w:tcW w:w="12757" w:type="dxa"/>
          </w:tcPr>
          <w:p w:rsidRPr="00B71FD5" w:rsidR="00E23389" w:rsidP="00B71FD5" w:rsidRDefault="00E23389">
            <w:r w:rsidRPr="00B71FD5">
              <w:t>Самостоятельная работа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48,00</w:t>
            </w:r>
          </w:p>
        </w:tc>
      </w:tr>
      <w:tr w:rsidRPr="00B71FD5" w:rsidR="00E23389" w:rsidTr="00067B60">
        <w:tc>
          <w:tcPr>
            <w:tcW w:w="13745" w:type="dxa"/>
            <w:gridSpan w:val="2"/>
          </w:tcPr>
          <w:p w:rsidRPr="00B71FD5" w:rsidR="00E23389" w:rsidP="00B71FD5" w:rsidRDefault="00E23389">
            <w:pPr>
              <w:jc w:val="right"/>
            </w:pPr>
            <w:r w:rsidRPr="00B71FD5">
              <w:t>Общая трудоемкость (в часах)</w:t>
            </w:r>
          </w:p>
        </w:tc>
        <w:tc>
          <w:tcPr>
            <w:tcW w:w="1949" w:type="dxa"/>
          </w:tcPr>
          <w:p w:rsidRPr="00B71FD5" w:rsidR="00E23389" w:rsidP="00B71FD5" w:rsidRDefault="00E23389">
            <w:pPr>
              <w:jc w:val="right"/>
            </w:pPr>
            <w:r w:rsidRPr="00B71FD5">
              <w:t>72,00</w:t>
            </w:r>
          </w:p>
        </w:tc>
      </w:tr>
    </w:tbl>
    <w:p w:rsidRPr="00B71FD5" w:rsidR="00E23389" w:rsidP="00E23389" w:rsidRDefault="00E23389">
      <w:pPr>
        <w:rPr>
          <w:rFonts w:cs="Times New Roman"/>
          <w:szCs w:val="24"/>
        </w:rPr>
      </w:pPr>
    </w:p>
    <w:p w:rsidRPr="00B71FD5" w:rsidR="00E23389" w:rsidP="00B71FD5" w:rsidRDefault="00E23389">
      <w:pPr>
        <w:pStyle w:val="2"/>
      </w:pPr>
      <w:r w:rsidRPr="00B71FD5">
        <w:t>2. Цели и задачи дисциплины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Цель</w:t>
      </w:r>
    </w:p>
    <w:p w:rsidRPr="00B71FD5" w:rsidR="00E23389" w:rsidP="007915A4" w:rsidRDefault="00E23389">
      <w:pPr>
        <w:pStyle w:val="a3"/>
      </w:pPr>
      <w:bookmarkStart w:name="_GoBack" w:id="0"/>
      <w:r w:rsidRPr="00B71FD5">
        <w:t>формирование теоретических знаний в понимании структурно-функциональных основ развития общепатологических процессов для формирования профессиональных компетенций врача, их готовности к осуществлению клинико-диагностической и лечебной цели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Задачи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знания о причинах, механизмах и проявлениях типовых общепатологических процессах,закономерности их взаимосвязи; морфофункциональных изменениях в организме в ответ на воздействие патогенных факторов и факторов внешней среды.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знания об основных патологических процессах при различных заболеваниях, необходимых для диагностики и проведению лечебных мероприятий, необходимых в практике врача- трансфузиолога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знания об особенностях возникновения, патогенезе отдельных болезней и синдромов, их проявлении и механизмах развития, методах их рациональной диагностики, эффективной терапии и профилактики, необходимых в практике врача- трансфузиолога</w:t>
      </w:r>
    </w:p>
    <w:p w:rsidRPr="00B71FD5" w:rsidR="00E23389" w:rsidP="007915A4" w:rsidRDefault="00E23389">
      <w:pPr>
        <w:pStyle w:val="a3"/>
        <w:numPr>
          <w:ilvl w:val="0"/>
          <w:numId w:val="5"/>
        </w:numPr>
      </w:pPr>
      <w:bookmarkStart w:name="_GoBack" w:id="0"/>
      <w:r w:rsidRPr="00B71FD5">
        <w:t>сформировать знания об адаптационных системах организма, адаптивных реакциях, с позиций концепции саногенеза,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болезней.</w:t>
      </w:r>
    </w:p>
    <w:p w:rsidRPr="00B71FD5" w:rsidR="00E23389" w:rsidP="00B71FD5" w:rsidRDefault="00E23389">
      <w:pPr>
        <w:pStyle w:val="2"/>
      </w:pPr>
      <w:r w:rsidRPr="00B71FD5">
        <w:t>3. Место дисциплины в структуре ООП</w:t>
      </w:r>
    </w:p>
    <w:p w:rsidRPr="00B71FD5" w:rsidR="00E23389" w:rsidP="00B71FD5" w:rsidRDefault="00E23389">
      <w:pPr>
        <w:pStyle w:val="2"/>
      </w:pPr>
      <w:r w:rsidRPr="00B71FD5">
        <w:t>4. Требования к результатам освоения дисциплины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63"/>
        <w:gridCol w:w="1126"/>
        <w:gridCol w:w="3991"/>
        <w:gridCol w:w="2175"/>
        <w:gridCol w:w="1553"/>
        <w:gridCol w:w="3299"/>
        <w:gridCol w:w="2587"/>
      </w:tblGrid>
      <w:tr w:rsidR="00B71FD5" w:rsidTr="00B71FD5">
        <w:tc>
          <w:tcPr>
            <w:tcW w:w="963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1126" w:type="dxa"/>
          </w:tcPr>
          <w:p w:rsidR="00B71FD5" w:rsidP="00B71FD5" w:rsidRDefault="00B71FD5">
            <w:pPr>
              <w:jc w:val="center"/>
            </w:pPr>
            <w:r>
              <w:t>Индекс</w:t>
            </w:r>
          </w:p>
        </w:tc>
        <w:tc>
          <w:tcPr>
            <w:tcW w:w="3991" w:type="dxa"/>
          </w:tcPr>
          <w:p w:rsidR="00B71FD5" w:rsidP="00B71FD5" w:rsidRDefault="00B71FD5">
            <w:pPr>
              <w:jc w:val="center"/>
            </w:pPr>
            <w:r>
              <w:t>Компетенция</w:t>
            </w:r>
          </w:p>
        </w:tc>
        <w:tc>
          <w:tcPr>
            <w:tcW w:w="2175" w:type="dxa"/>
          </w:tcPr>
          <w:p w:rsidR="00B71FD5" w:rsidP="00B71FD5" w:rsidRDefault="00B71FD5">
            <w:pPr>
              <w:jc w:val="center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</w:p>
        </w:tc>
        <w:tc>
          <w:tcPr>
            <w:tcW w:w="1553" w:type="dxa"/>
          </w:tcPr>
          <w:p w:rsidR="00B71FD5" w:rsidP="00B71FD5" w:rsidRDefault="00B71FD5">
            <w:pPr>
              <w:jc w:val="center"/>
            </w:pPr>
            <w:r>
              <w:t>Дескриптор</w:t>
            </w:r>
          </w:p>
        </w:tc>
        <w:tc>
          <w:tcPr>
            <w:tcW w:w="3299" w:type="dxa"/>
          </w:tcPr>
          <w:p w:rsidR="00B71FD5" w:rsidP="00B71FD5" w:rsidRDefault="00B71FD5">
            <w:pPr>
              <w:jc w:val="center"/>
            </w:pPr>
            <w:r>
              <w:t>Описания</w:t>
            </w:r>
          </w:p>
        </w:tc>
        <w:tc>
          <w:tcPr>
            <w:tcW w:w="2587" w:type="dxa"/>
          </w:tcPr>
          <w:p w:rsidR="00B71FD5" w:rsidP="00B71FD5" w:rsidRDefault="00B71FD5">
            <w:pPr>
              <w:jc w:val="center"/>
            </w:pPr>
            <w:r>
              <w:t>Формы контроля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ПК-5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роль морфологического исследования в современной клинической медицине; медицинские и правовые аспекты ятрогенной патологии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интерпретировать результаты наиболее распространенных методов лабораторной и функциональной диагностики, для выявления патологических процессов в органах и системах; ориентироваться в общих вопросах нозологии, включая этиологию, патогенез и морфогенез; сличать клинический и патологоанатомический диагнозы; готовить и проводить клинико-­морфологические конференции; обосновать характер типического патологического процесса и его клинические проявления в динамике развития различных по этиологии и патогенезу заболеваний деструктивных, воспалительных, иммунопатологических, опухолевых и др.; обосновать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своевременно выявлять жизнеугрожающие состояния (острая кровопотеря, нарушение дыхания, остановка сердца, кома, шок), использовать методики их немедленного устранения, осуществлять противошоковые мероприятия;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медико-функциональным понятийным аппаратом по вопросам клинико­морфологических аспектов ятрогенной патологии; навыками сопоставления морфологических и клинических проявлений болезни; навыками постановки предварительного диагноза на основании результатов лабораторного и инструментального обследования; основами врачебных диагностических и лечебных мероприятий по оказанию первой врачебной помощи при неотложных и угрожающих жизни состояниях с нарушениями иммунной системы; - медико-технической аппаратурой, используемой в работе с пациентами, компьютерной техникой.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навыков;
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 w:val="restart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1126" w:type="dxa"/>
            <w:vMerge w:val="restart"/>
          </w:tcPr>
          <w:p w:rsidR="00B71FD5" w:rsidP="00B71FD5" w:rsidRDefault="00B71FD5">
            <w:r>
              <w:t>УК-1</w:t>
            </w:r>
          </w:p>
        </w:tc>
        <w:tc>
          <w:tcPr>
            <w:tcW w:w="3991" w:type="dxa"/>
            <w:vMerge w:val="restart"/>
          </w:tcPr>
          <w:p w:rsidR="00B71FD5" w:rsidP="00B71FD5" w:rsidRDefault="00B71FD5">
            <w:r>
              <w:t>готовностью к абстрактному мышлению, анализу, синтезу</w:t>
            </w:r>
          </w:p>
        </w:tc>
        <w:tc>
          <w:tcPr>
            <w:tcW w:w="2175" w:type="dxa"/>
            <w:vMerge w:val="restart"/>
          </w:tcPr>
          <w:p w:rsidR="00B71FD5" w:rsidP="00B71FD5" w:rsidRDefault="00B71FD5">
            <w:pPr>
              <w:jc w:val="center"/>
            </w:pPr>
            <w:r>
              <w:t>Продвинутый</w:t>
            </w:r>
          </w:p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Знать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основные понятия общей нозологии; принципы классификации болезней в соответствии с Международной статистической классификацией болезней и проблем, связанных со здоровьем; понятия этиологии, патогенеза, морфогенеза, патоморфоза болезни; медицинские и правовые аспекты ятрогенной патологии причины и механизмы типовых патологической процессов и реакций, их проявления и значение для организма при развитии различных заболеваний;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заболеваний.современные методы клинической, лабораторной и инструментальной диагностики больных в критических состояниях, необходимых для постановки диагноза в соответствии с Международной статистической классификацией болезней и проблем, связанных со здоровьем. Клинические проявления требующих неотложной помощи; развитие осложнений их клинические проявления.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устный опрос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Уметь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обобщать практический опыт, готовить сообщения и выступления, участвовать в научно практических дискуссиях. выбирать и использовать в профессиональной деятельности возможности различных методов клинико-лабораторного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587" w:type="dxa"/>
          </w:tcPr>
          <w:p w:rsidR="00B71FD5" w:rsidP="00B71FD5" w:rsidRDefault="00B71FD5">
            <w:r>
              <w:t>решение проблемно-ситуационных задач</w:t>
            </w:r>
          </w:p>
        </w:tc>
      </w:tr>
      <w:tr w:rsidR="00B71FD5" w:rsidTr="00B71FD5">
        <w:tc>
          <w:tcPr>
            <w:tcW w:w="963" w:type="dxa"/>
            <w:vMerge/>
          </w:tcPr>
          <w:p w:rsidR="00B71FD5" w:rsidP="00B71FD5" w:rsidRDefault="00B71FD5"/>
        </w:tc>
        <w:tc>
          <w:tcPr>
            <w:tcW w:w="1126" w:type="dxa"/>
            <w:vMerge/>
          </w:tcPr>
          <w:p w:rsidR="00B71FD5" w:rsidP="00B71FD5" w:rsidRDefault="00B71FD5"/>
        </w:tc>
        <w:tc>
          <w:tcPr>
            <w:tcW w:w="3991" w:type="dxa"/>
            <w:vMerge/>
          </w:tcPr>
          <w:p w:rsidR="00B71FD5" w:rsidP="00B71FD5" w:rsidRDefault="00B71FD5"/>
        </w:tc>
        <w:tc>
          <w:tcPr>
            <w:tcW w:w="2175" w:type="dxa"/>
            <w:vMerge/>
          </w:tcPr>
          <w:p w:rsidR="00B71FD5" w:rsidP="00B71FD5" w:rsidRDefault="00B71FD5"/>
        </w:tc>
        <w:tc>
          <w:tcPr>
            <w:tcW w:w="1553" w:type="dxa"/>
            <w:vMerge w:val="restart"/>
          </w:tcPr>
          <w:p w:rsidR="00B71FD5" w:rsidP="00B71FD5" w:rsidRDefault="00B71FD5">
            <w:pPr>
              <w:jc w:val="center"/>
            </w:pPr>
            <w:r>
              <w:t>Владеть</w:t>
            </w:r>
          </w:p>
        </w:tc>
        <w:tc>
          <w:tcPr>
            <w:tcW w:w="3299" w:type="dxa"/>
          </w:tcPr>
          <w:p w:rsidRPr="00B71FD5" w:rsidR="00B71FD5" w:rsidP="00B71FD5" w:rsidRDefault="00B71FD5">
            <w:r>
              <w:t>Владеть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критических и терминальных состояниях;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587" w:type="dxa"/>
          </w:tcPr>
          <w:p w:rsidR="00B71FD5" w:rsidP="00B71FD5" w:rsidRDefault="00B71FD5">
            <w:r>
              <w:t>проверка практических навыков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5.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tbl>
      <w:tblPr>
        <w:tblStyle w:val="a4"/>
        <w:tblW w:w="0" w:type="auto"/>
        <w:tblLayout w:type="fixed"/>
        <w:tblLook w:val="04A0" w:firstRow="true" w:lastRow="false" w:firstColumn="true" w:lastColumn="false" w:noHBand="false" w:noVBand="true"/>
      </w:tblPr>
      <w:tblGrid>
        <w:gridCol w:w="988"/>
        <w:gridCol w:w="5528"/>
        <w:gridCol w:w="1276"/>
        <w:gridCol w:w="1275"/>
        <w:gridCol w:w="567"/>
        <w:gridCol w:w="6060"/>
      </w:tblGrid>
      <w:tr w:rsidR="005B3AD6" w:rsidTr="004B74E2">
        <w:tc>
          <w:tcPr>
            <w:tcW w:w="988" w:type="dxa"/>
            <w:vMerge w:val="restart"/>
          </w:tcPr>
          <w:p w:rsidRPr="00B71FD5" w:rsidR="00B71FD5" w:rsidP="00B71FD5" w:rsidRDefault="00B71FD5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pPr>
              <w:jc w:val="center"/>
            </w:pPr>
            <w:r>
              <w:t>Наименование модуля дисциплины</w:t>
            </w:r>
          </w:p>
        </w:tc>
        <w:tc>
          <w:tcPr>
            <w:tcW w:w="2551" w:type="dxa"/>
            <w:gridSpan w:val="2"/>
          </w:tcPr>
          <w:p w:rsidR="00B71FD5" w:rsidP="00B71FD5" w:rsidRDefault="00B71FD5">
            <w:pPr>
              <w:jc w:val="center"/>
            </w:pPr>
            <w:r>
              <w:t>Трудоемкость модуля</w:t>
            </w:r>
          </w:p>
        </w:tc>
        <w:tc>
          <w:tcPr>
            <w:tcW w:w="6627" w:type="dxa"/>
            <w:gridSpan w:val="2"/>
            <w:vMerge w:val="restart"/>
          </w:tcPr>
          <w:p w:rsidR="00B71FD5" w:rsidP="00B71FD5" w:rsidRDefault="00B71FD5">
            <w:pPr>
              <w:jc w:val="center"/>
            </w:pPr>
            <w:r>
              <w:t>Содержание модуля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</w:tcPr>
          <w:p w:rsidR="00B71FD5" w:rsidP="00B71FD5" w:rsidRDefault="00B71FD5">
            <w:pPr>
              <w:jc w:val="center"/>
            </w:pPr>
            <w:proofErr w:type="spellStart"/>
            <w:r>
              <w:t>з.е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B71FD5" w:rsidP="00B71FD5" w:rsidRDefault="00B71FD5">
            <w:pPr>
              <w:jc w:val="center"/>
            </w:pPr>
            <w:r>
              <w:t>часы</w:t>
            </w:r>
          </w:p>
        </w:tc>
        <w:tc>
          <w:tcPr>
            <w:tcW w:w="6627" w:type="dxa"/>
            <w:gridSpan w:val="2"/>
            <w:vMerge/>
          </w:tcPr>
          <w:p w:rsidR="00B71FD5" w:rsidP="00B71FD5" w:rsidRDefault="00B71FD5"/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5528" w:type="dxa"/>
            <w:vMerge w:val="restart"/>
          </w:tcPr>
          <w:p w:rsidR="00B71FD5" w:rsidP="00B71FD5" w:rsidRDefault="00B71FD5">
            <w:r>
              <w:t>Общая патология в трансфузиологии</w:t>
            </w:r>
            <w:bookmarkStart w:name="_GoBack" w:id="0"/>
            <w:bookmarkEnd w:id="0"/>
          </w:p>
        </w:tc>
        <w:tc>
          <w:tcPr>
            <w:tcW w:w="1276" w:type="dxa"/>
            <w:vMerge w:val="restart"/>
          </w:tcPr>
          <w:p w:rsidR="00B71FD5" w:rsidP="00B71FD5" w:rsidRDefault="00B71FD5">
            <w:pPr>
              <w:jc w:val="right"/>
            </w:pPr>
            <w:r>
              <w:t>02,00</w:t>
            </w:r>
          </w:p>
        </w:tc>
        <w:tc>
          <w:tcPr>
            <w:tcW w:w="1275" w:type="dxa"/>
            <w:vMerge w:val="restart"/>
          </w:tcPr>
          <w:p w:rsidR="00B71FD5" w:rsidP="00B71FD5" w:rsidRDefault="00B71FD5">
            <w:pPr>
              <w:jc w:val="right"/>
            </w:pPr>
            <w:r>
              <w:t>72,00</w:t>
            </w:r>
          </w:p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6060" w:type="dxa"/>
          </w:tcPr>
          <w:p w:rsidR="00B71FD5" w:rsidP="00B71FD5" w:rsidRDefault="00B71FD5">
            <w:r>
              <w:t>Типовые общепатологические процессы. Понятие об альтерации. Обратимая и необратимая альтерация. Некрозы, принципы классификации, морфологические проявления. Дистрофии, механизмы развития. Принципы повышения резистентности клеток к повреждению.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2</w:t>
            </w:r>
          </w:p>
        </w:tc>
        <w:tc>
          <w:tcPr>
            <w:tcW w:w="6060" w:type="dxa"/>
          </w:tcPr>
          <w:p w:rsidR="00B71FD5" w:rsidP="00B71FD5" w:rsidRDefault="00B71FD5">
            <w:r>
              <w:t>Воспаление, классификация, основные морфологические признаки. Виды воспалительных реакций. Диагностические макро- и микроскопические критерии различных видов воспаления. Системная и локальная воспалительная реакция как основа развития синдрома полиорганной недостаточности. Специфическое воспаление, макро - и микроскопические проявления различных видов. Регенерация, биологическое значение. Репаративная регенерация. Компоненты процесса заживления.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3</w:t>
            </w:r>
          </w:p>
        </w:tc>
        <w:tc>
          <w:tcPr>
            <w:tcW w:w="6060" w:type="dxa"/>
          </w:tcPr>
          <w:p w:rsidR="00B71FD5" w:rsidP="00B71FD5" w:rsidRDefault="00B71FD5">
            <w:r>
              <w:t>Патофизиология опухолевого роста.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5528" w:type="dxa"/>
            <w:vMerge/>
          </w:tcPr>
          <w:p w:rsidR="00B71FD5" w:rsidP="00B71FD5" w:rsidRDefault="00B71FD5"/>
        </w:tc>
        <w:tc>
          <w:tcPr>
            <w:tcW w:w="1276" w:type="dxa"/>
            <w:vMerge/>
          </w:tcPr>
          <w:p w:rsidR="00B71FD5" w:rsidP="00B71FD5" w:rsidRDefault="00B71FD5"/>
        </w:tc>
        <w:tc>
          <w:tcPr>
            <w:tcW w:w="1275" w:type="dxa"/>
            <w:vMerge/>
          </w:tcPr>
          <w:p w:rsidR="00B71FD5" w:rsidP="00B71FD5" w:rsidRDefault="00B71FD5"/>
        </w:tc>
        <w:tc>
          <w:tcPr>
            <w:tcW w:w="567" w:type="dxa"/>
          </w:tcPr>
          <w:p w:rsidR="00B71FD5" w:rsidP="00B71FD5" w:rsidRDefault="00B71FD5">
            <w:pPr>
              <w:jc w:val="right"/>
            </w:pPr>
            <w:r>
              <w:t>4</w:t>
            </w:r>
          </w:p>
        </w:tc>
        <w:tc>
          <w:tcPr>
            <w:tcW w:w="6060" w:type="dxa"/>
          </w:tcPr>
          <w:p w:rsidR="00B71FD5" w:rsidP="00B71FD5" w:rsidRDefault="00B71FD5">
            <w:r>
              <w:t>Нарушения системы гемостаза.</w:t>
            </w:r>
          </w:p>
        </w:tc>
      </w:tr>
    </w:tbl>
    <w:p w:rsidRPr="00B71FD5" w:rsidR="00E23389" w:rsidP="00B71FD5" w:rsidRDefault="00E23389">
      <w:pPr>
        <w:pStyle w:val="2"/>
      </w:pPr>
      <w:r w:rsidRPr="00B71FD5">
        <w:t>6. Перечень учебно-методического обеспечения по дисциплине (модулю)</w:t>
      </w:r>
    </w:p>
    <w:p w:rsidRPr="00B71FD5" w:rsidR="00E23389" w:rsidP="00B71FD5" w:rsidRDefault="00E23389">
      <w:pPr>
        <w:pStyle w:val="2"/>
      </w:pPr>
      <w:r w:rsidRPr="00B71FD5">
        <w:t>7. Фонд оценочных средств для проведения промежуточной аттестации обучающихся по дисциплине (модулю)</w:t>
      </w:r>
    </w:p>
    <w:p w:rsidRPr="00B71FD5" w:rsidR="00E23389" w:rsidP="007915A4" w:rsidRDefault="00E23389">
      <w:pPr>
        <w:pStyle w:val="3"/>
      </w:pPr>
      <w:bookmarkStart w:name="_GoBack" w:id="0"/>
      <w:r w:rsidRPr="00B71FD5">
        <w:t>Вопросы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252"/>
        <w:gridCol w:w="10454"/>
      </w:tblGrid>
      <w:tr w:rsidR="00B71FD5" w:rsidTr="00B71FD5">
        <w:tc>
          <w:tcPr>
            <w:tcW w:w="988" w:type="dxa"/>
          </w:tcPr>
          <w:p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252" w:type="dxa"/>
          </w:tcPr>
          <w:p w:rsidR="00B71FD5" w:rsidP="00B71FD5" w:rsidRDefault="00B71FD5">
            <w:pPr>
              <w:jc w:val="center"/>
            </w:pPr>
            <w:r w:rsidRPr="00B71FD5">
              <w:t>Наименование модуля (темы) дисциплины</w:t>
            </w:r>
          </w:p>
        </w:tc>
        <w:tc>
          <w:tcPr>
            <w:tcW w:w="10454" w:type="dxa"/>
          </w:tcPr>
          <w:p w:rsidR="00B71FD5" w:rsidP="00B71FD5" w:rsidRDefault="00B71FD5">
            <w:pPr>
              <w:jc w:val="center"/>
            </w:pPr>
            <w:r w:rsidRPr="00B71FD5">
              <w:t>Наименование вопросов</w:t>
            </w:r>
          </w:p>
        </w:tc>
      </w:tr>
      <w:tr w:rsidR="00B71FD5" w:rsidTr="00B71FD5">
        <w:tc>
          <w:tcPr>
            <w:tcW w:w="988" w:type="dxa"/>
            <w:vMerge w:val="restart"/>
          </w:tcPr>
          <w:p w:rsidR="00B71FD5" w:rsidP="00B71FD5" w:rsidRDefault="00B71FD5">
            <w:pPr>
              <w:jc w:val="right"/>
            </w:pPr>
            <w:r>
              <w:t>1</w:t>
            </w:r>
          </w:p>
        </w:tc>
        <w:tc>
          <w:tcPr>
            <w:tcW w:w="4252" w:type="dxa"/>
            <w:vMerge w:val="restart"/>
          </w:tcPr>
          <w:p w:rsidR="00B71FD5" w:rsidP="005D069F" w:rsidRDefault="00B71FD5">
            <w:r>
              <w:t>Общая патология в трансфузиологии</w:t>
            </w:r>
          </w:p>
        </w:tc>
        <w:tc>
          <w:tcPr>
            <w:tcW w:w="10454" w:type="dxa"/>
          </w:tcPr>
          <w:p w:rsidR="00B71FD5" w:rsidP="00B71FD5" w:rsidRDefault="00B71FD5">
            <w:r>
              <w:t>Степени операционно-анестезиологического риска. Шкала МНОАР. Шкала ASA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Мониторный контроль. Виды. Задачи. Контроль адекватности анестезии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компоненты общей и регионарной анестезии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Виды премедикации. Цель и задачи. Оценка эффективности.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Эпидуральная анестезия. Методика, показания и противопоказания.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Спинномозговая анестезия. Методика, показания и противопоказания.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Классификация осложнений анестезиологического пособия. Экспертная оценка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Ошибки и осложнения общей и регионарной анестезии (Гр. А, Гр В) на этапах обезболивания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современных внутривенных анестетиков и транквилизаторов.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Характеристика современных анальгетиков. Классификация. Фармакокинетика и фармакодинамика.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Оценка интенсивности боли. Мультимодальный подход к послеоперационному обезболиванию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Мышечные релаксанты. Механизм действия. Осложнения.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Искусственная артериальная гипотония. Методика. Показания и противопоказания. Фармакодинамика ганглиоблокаторов и периферических вазодилятаторов. Осложнения и их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Тотальная внутривенная анестезия. Методики. Вероятные осложнения.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экстренной анестезии. Тактика врача анестезиолога. Осложнения.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анестезиологического пособия при черепно-мозговой травме. Осложнения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абдоминальной хирургии. Выбор анестезии. Мониторинг.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травматологии и ортопедии. Выбор анестезии. Мониторинг. Тактика врача.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обезболивания у детей и лиц пожилого возраста.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у больных с нарушением ритма сердца и проводимости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обезболивания у больных гипертонической болезнью, сахарным диабетом, бронхиальной астмой.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Амбулаторная анестезия. Принципы организации работы службы А-Р в условиях «хирургии одного дня».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Физиологические изменения в организме при беременности. Фармакодинамика и фармакокинетика анестетиков с позиций плацентарной проницаемости.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Особенности анестезии в плановом акушерстве и гинекологии (кесарево сечение, обезболивание неосложненных родов, малые гинекологические вмешательства).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Анестезиолого-реанимационное обеспечение преэклампсии и эклампсии.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Современные подходы к сердечно-легочной и мозговой реанимации. Первичный (А,В,С,) и расширенный (D) реанимационные комплексы. Принцип ранней дефибрилляции.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Постреанимационная болезнь. Стадии. Этиология. Апалический синдром. Принципы лечения больных.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Понятие «трудной интубации трахеи». Методы обеспечения проходимости дыхательных путей в анестезиологии.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Шок с точки зрения анестезиолога-реаниматолога.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Кардиогенный шок.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Анафилактический шок. Патогенез. Клиника.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Геморрагический шок. Классификация степени кровопотери.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Сепсис. Септический шок. Патогенез, диагностика,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Интенсивная терапия нарушений ритма и проводимости сердца.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С-м острого повреждения легких. Респираторный дистресс-синдром взрослых. Патогенез, клиника,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Продленная ИВЛ. Показания. Опасности и осложнения. Вентилятор-ассоциированные пневмонии.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Тромбоэмболия легочной артерии. Этиология. Патогенез. Клиника, диагностика. Принципы интенсивной терапии. Профилактика.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Отек легких. Патогенез. Клиника. Интенсивная терапия.</w:t>
            </w:r>
          </w:p>
        </w:tc>
      </w:tr>
      <w:tr w:rsidR="00B71FD5" w:rsidTr="00B71FD5">
        <w:tc>
          <w:tcPr>
            <w:tcW w:w="988" w:type="dxa"/>
            <w:vMerge/>
          </w:tcPr>
          <w:p w:rsidR="00B71FD5" w:rsidP="00B71FD5" w:rsidRDefault="00B71FD5"/>
        </w:tc>
        <w:tc>
          <w:tcPr>
            <w:tcW w:w="4252" w:type="dxa"/>
            <w:vMerge/>
          </w:tcPr>
          <w:p w:rsidR="00B71FD5" w:rsidP="005D069F" w:rsidRDefault="00B71FD5"/>
        </w:tc>
        <w:tc>
          <w:tcPr>
            <w:tcW w:w="10454" w:type="dxa"/>
          </w:tcPr>
          <w:p w:rsidR="00B71FD5" w:rsidP="00B71FD5" w:rsidRDefault="00B71FD5">
            <w:r>
              <w:t>ОДН. Астматический статус. Клиника. Интенсивная терапия.</w:t>
            </w:r>
          </w:p>
        </w:tc>
      </w:tr>
    </w:tbl>
    <w:p w:rsidRPr="00B71FD5" w:rsidR="00E23389" w:rsidP="007915A4" w:rsidRDefault="00E23389">
      <w:pPr>
        <w:pStyle w:val="a"/>
      </w:pPr>
      <w:r w:rsidRPr="00B71FD5">
        <w:t/>
      </w:r>
    </w:p>
    <w:p w:rsidRPr="00B71FD5" w:rsidR="00E23389" w:rsidP="00B71FD5" w:rsidRDefault="00E23389">
      <w:pPr>
        <w:pStyle w:val="2"/>
      </w:pPr>
      <w:r w:rsidRPr="00B71FD5">
        <w:t>8. Перечень основной и дополнительной учебной литературы, необходимой для освоения дисциплины (модуля)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Основная литература</w:t>
      </w:r>
    </w:p>
    <w:p w:rsidRPr="00B71FD5" w:rsidR="00E23389" w:rsidP="007915A4" w:rsidRDefault="00E23389">
      <w:pPr>
        <w:pStyle w:val="a3"/>
        <w:numPr>
          <w:ilvl w:val="0"/>
          <w:numId w:val="12"/>
        </w:numPr>
      </w:pPr>
      <w:bookmarkStart w:name="_GoBack" w:id="0"/>
      <w:r w:rsidRPr="00B71FD5">
        <w:t>Гельфанд Б. Р., Интенсивная терапия [Электронный ресурс] / под ред. Б. Р. Гельфанда, И. Б. Заболотских - М. : ГЭОТАР-Медиа, 2017. - 928 с. - ISBN 978-5-9704-4161-9 - Режим доступа: https://www.rosmedlib.ru/book/ISBN9785970441619.html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Дополнительная литература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Крылов В.В., Нейрореаниматология : практическое руководство [Электронный ресурс] / Крылов В.В. - М. : ГЭОТАР-Медиа, 2017. - 176 с. (Серия "Библиотека врача-специа листа") - ISBN 978-5-9704-4369-9 - Режим доступа: https://www.rosmedlib.ru/book/ISBN9785970443699.html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Ермоленко В. М., Острая почечная недостаточность [Электронный ресурс] / В. М. Ермоленко, А. Ю. Николаев - М. : ГЭОТАР-Медиа, 2017. - 240 с. (Серия "Библиотека врача-специалиста") - ISBN 978-5-9704-4172-5 - Режим доступа: https://www.rosmedlib.ru/book/ISBN9785970441725.html</w:t>
      </w:r>
    </w:p>
    <w:p w:rsidRPr="00B71FD5" w:rsidR="00E23389" w:rsidP="007915A4" w:rsidRDefault="00E23389">
      <w:pPr>
        <w:pStyle w:val="a3"/>
        <w:numPr>
          <w:ilvl w:val="0"/>
          <w:numId w:val="13"/>
        </w:numPr>
      </w:pPr>
      <w:bookmarkStart w:name="_GoBack" w:id="0"/>
      <w:r w:rsidRPr="00B71FD5">
        <w:t>Рукавицын О.А., Гематология [Электронный ресурс] : национальное руководство / под ред. О.А. Рукавицына - М. : ГЭОТАР-Медиа, 2015. - 776 с. - ISBN 978-5-9704-3327-0 - Режим доступа: https://www.rosmedlib.ru/book/ISBN9785970433270.html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Программное обеспечение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Лицензионная операционная система Microsoft Windows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Лицензионный офисный пакет приложений Microsoft Office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Лицензионное антивирусное программное обеспечение Kaspersky Endpoint Security</w:t>
      </w:r>
    </w:p>
    <w:p w:rsidRPr="00B71FD5" w:rsidR="00E23389" w:rsidP="007915A4" w:rsidRDefault="00E23389">
      <w:pPr>
        <w:pStyle w:val="a3"/>
        <w:numPr>
          <w:ilvl w:val="0"/>
          <w:numId w:val="14"/>
        </w:numPr>
      </w:pPr>
      <w:bookmarkStart w:name="_GoBack" w:id="0"/>
      <w:r w:rsidRPr="00B71FD5">
        <w:t>Свободный пакет офисных приложений Apache OpenOffice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Базы данных, информационно-справочные и поисковые системы – Интернет ресурсы, отвечающие тематике дисциплины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Информационно-аналитическая система «SCIENCE INDEX» https://elibrary.ru/</w:t>
      </w:r>
    </w:p>
    <w:p w:rsidRPr="00B71FD5" w:rsidR="00E23389" w:rsidP="007915A4" w:rsidRDefault="00E23389">
      <w:pPr>
        <w:pStyle w:val="a3"/>
        <w:numPr>
          <w:ilvl w:val="0"/>
          <w:numId w:val="15"/>
        </w:numPr>
      </w:pPr>
      <w:bookmarkStart w:name="_GoBack" w:id="0"/>
      <w:r w:rsidRPr="00B71FD5">
        <w:t>«Электронная справочная правовая система. Консультант Плюс» http://www.consultant.ru/</w:t>
      </w:r>
    </w:p>
    <w:p w:rsidRPr="00B71FD5" w:rsidR="00E23389" w:rsidP="00E23389" w:rsidRDefault="00E23389">
      <w:pPr>
        <w:pStyle w:val="3"/>
      </w:pPr>
      <w:bookmarkStart w:name="_GoBack" w:id="0"/>
      <w:bookmarkEnd w:id="0"/>
      <w:r>
        <w:t>Ресурсы библиотеки ОрГМУ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Внутренняя электронно-библиотечная система ОрГМУ http://lib.orgma.ru/jirbis2/elektronnyj-katalog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http://www.studmedlib.ru/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«Электронная библиотечная система. Консультант студента» Электронная библиотека медицинского колледжа http://www.medcollegelib.ru/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«Электронно-библиотечная система. IPRbooks» http://www.iprbookshop.ru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«Консультант врача. Электронная медицинская библиотека» http://www.rosmedlib.ru/</w:t>
      </w:r>
    </w:p>
    <w:p w:rsidRPr="00B71FD5" w:rsidR="00E23389" w:rsidP="007915A4" w:rsidRDefault="00E23389">
      <w:pPr>
        <w:pStyle w:val="a3"/>
        <w:numPr>
          <w:ilvl w:val="0"/>
          <w:numId w:val="16"/>
        </w:numPr>
      </w:pPr>
      <w:bookmarkStart w:name="_GoBack" w:id="0"/>
      <w:r w:rsidRPr="00B71FD5">
        <w:t>«Научная электронная библиотека eLIBRARY.RU» https://elibrary.ru</w:t>
      </w:r>
    </w:p>
    <w:p w:rsidRPr="00B71FD5" w:rsidR="00E23389" w:rsidP="00B71FD5" w:rsidRDefault="00E23389">
      <w:pPr>
        <w:pStyle w:val="2"/>
      </w:pPr>
      <w:r w:rsidRPr="00B71FD5">
        <w:t>9. Описание материально-технической базы, необходимой для осуществления образовательного процесса по дисциплине (модулю)</w:t>
      </w:r>
    </w:p>
    <w:tbl>
      <w:tblPr>
        <w:tblStyle w:val="a4"/>
        <w:tblW w:w="0" w:type="auto"/>
        <w:tblLook w:val="04A0" w:firstRow="true" w:lastRow="false" w:firstColumn="true" w:lastColumn="false" w:noHBand="false" w:noVBand="true"/>
      </w:tblPr>
      <w:tblGrid>
        <w:gridCol w:w="988"/>
        <w:gridCol w:w="4961"/>
        <w:gridCol w:w="3685"/>
        <w:gridCol w:w="6060"/>
      </w:tblGrid>
      <w:tr w:rsidR="00B71FD5" w:rsidTr="00E54937">
        <w:tc>
          <w:tcPr>
            <w:tcW w:w="988" w:type="dxa"/>
          </w:tcPr>
          <w:p w:rsidRPr="00B71FD5" w:rsidR="00B71FD5" w:rsidP="00B71FD5" w:rsidRDefault="00B71FD5">
            <w:pPr>
              <w:jc w:val="center"/>
            </w:pPr>
            <w:r>
              <w:t>№</w:t>
            </w:r>
          </w:p>
        </w:tc>
        <w:tc>
          <w:tcPr>
            <w:tcW w:w="4961" w:type="dxa"/>
          </w:tcPr>
          <w:p w:rsidR="00B71FD5" w:rsidP="00B71FD5" w:rsidRDefault="00B71FD5">
            <w:pPr>
              <w:jc w:val="center"/>
            </w:pPr>
            <w: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85" w:type="dxa"/>
          </w:tcPr>
          <w:p w:rsidR="00B71FD5" w:rsidP="00B71FD5" w:rsidRDefault="00B71FD5">
            <w:pPr>
              <w:jc w:val="center"/>
            </w:pPr>
            <w:r>
              <w:t>Типы занятий</w:t>
            </w:r>
          </w:p>
        </w:tc>
        <w:tc>
          <w:tcPr>
            <w:tcW w:w="6060" w:type="dxa"/>
          </w:tcPr>
          <w:p w:rsidR="00B71FD5" w:rsidP="00B71FD5" w:rsidRDefault="00B71FD5">
            <w:pPr>
              <w:jc w:val="center"/>
            </w:pPr>
            <w:r>
              <w:t>Оснащенность специальных помещений и помещений для самостоятельной работы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№212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№1, аудитория №319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460000, Оренбургская область, г. Оренбург, ул. Советская/ул. М. Горького/ пер. Дмитриевский, 6/45/7, учебный корпус №2, аудитория №202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14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№253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№259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12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7, учебный корпус №3, аудитория №128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11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961" w:type="dxa"/>
          </w:tcPr>
          <w:p w:rsidR="00B71FD5" w:rsidP="005D069F" w:rsidRDefault="00917C7E">
            <w:r>
              <w:t>460018, Оренбургская область, г. Оренбург, ул. Невельская, 26а, Клиника адаптационной медицины ФГБОУ ВО ОрГМУ Минздрава России, аудитория №6</w:t>
            </w:r>
          </w:p>
        </w:tc>
        <w:tc>
          <w:tcPr>
            <w:tcW w:w="3685" w:type="dxa"/>
          </w:tcPr>
          <w:p w:rsidR="00B71FD5" w:rsidP="005D069F" w:rsidRDefault="00917C7E">
            <w:r>
              <w:t>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10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цокольный этаж, №14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Учебная комната: Мультимедийный комплекс – видеопроектор, экран, ноутбук; Учебная мебель на 18 посадочных мест (столы, стулья); Мебель для преподавателя (стол, стул); Учебная доска; Тематические таблицы, схемы; Учебные истории болезней.</w:t>
            </w:r>
          </w:p>
        </w:tc>
      </w:tr>
      <w:tr w:rsidR="00B71FD5" w:rsidTr="00E54937">
        <w:tc>
          <w:tcPr>
            <w:tcW w:w="988" w:type="dxa"/>
          </w:tcPr>
          <w:p w:rsidRPr="00917C7E" w:rsidR="00B71FD5" w:rsidP="005D069F" w:rsidRDefault="00917C7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961" w:type="dxa"/>
          </w:tcPr>
          <w:p w:rsidR="00B71FD5" w:rsidP="005D069F" w:rsidRDefault="00917C7E">
            <w:r>
              <w:t>460002, Оренбургская область, г. Оренбург, пр. Парковый, 7 2 этаж, №№23-24</w:t>
            </w:r>
          </w:p>
        </w:tc>
        <w:tc>
          <w:tcPr>
            <w:tcW w:w="3685" w:type="dxa"/>
          </w:tcPr>
          <w:p w:rsidR="00B71FD5" w:rsidP="005D069F" w:rsidRDefault="00917C7E">
            <w:r>
              <w:t>Практические занятия; Самостоятельная работа</w:t>
            </w:r>
          </w:p>
        </w:tc>
        <w:tc>
          <w:tcPr>
            <w:tcW w:w="6060" w:type="dxa"/>
          </w:tcPr>
          <w:p w:rsidR="00B71FD5" w:rsidP="005D069F" w:rsidRDefault="00917C7E">
            <w:r>
              <w:t>Компьютерный класс: 20 рабочих мест, обеспеченных ПК с подключением к сети Интернет и доступом в электронную информационно-образовательную среду вуза.</w:t>
            </w:r>
          </w:p>
        </w:tc>
      </w:tr>
    </w:tbl>
    <w:sectPr w:rsidRPr="00B71FD5" w:rsidR="00E23389" w:rsidSect="00E23389">
      <w:pgSz w:w="16838" w:h="11906" w:orient="landscape" w:code="9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07AC"/>
    <w:multiLevelType w:val="hybridMultilevel"/>
    <w:tmpl w:val="0AF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true">
      <w:start w:val="1"/>
      <w:numFmt w:val="lowerLetter"/>
      <w:lvlText w:val="%2."/>
      <w:lvlJc w:val="left"/>
      <w:pPr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89"/>
    <w:rsid w:val="00B71FD5"/>
    <w:rsid w:val="00D36658"/>
    <w:rsid w:val="00E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 xmlns:w15="http://schemas.microsoft.com/office/word/2012/wordml"/>
  <w15:docId xmlns:w15="http://schemas.microsoft.com/office/word/2012/wordml" w15:val="{6A09B258-B4D4-45F3-99B4-EE3EA1F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B71FD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1FD5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D5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19F2"/>
    <w:pPr>
      <w:keepNext/>
      <w:keepLines/>
      <w:spacing w:before="40" w:after="0"/>
      <w:jc w:val="center"/>
      <w:outlineLvl w:val="2"/>
    </w:pPr>
    <w:rPr>
      <w:rFonts w:eastAsiaTheme="majorEastAsia" w:cstheme="majorBidi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B71FD5"/>
    <w:rPr>
      <w:rFonts w:ascii="Times New Roman" w:hAnsi="Times New Roman" w:eastAsiaTheme="majorEastAsia" w:cstheme="majorBidi"/>
      <w:sz w:val="32"/>
      <w:szCs w:val="32"/>
    </w:rPr>
  </w:style>
  <w:style w:type="character" w:styleId="20" w:customStyle="true">
    <w:name w:val="Заголовок 2 Знак"/>
    <w:basedOn w:val="a0"/>
    <w:link w:val="2"/>
    <w:uiPriority w:val="9"/>
    <w:rsid w:val="00B71FD5"/>
    <w:rPr>
      <w:rFonts w:ascii="Times New Roman" w:hAnsi="Times New Roman" w:eastAsiaTheme="majorEastAsia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E23389"/>
    <w:pPr>
      <w:ind w:left="720"/>
      <w:contextualSpacing/>
    </w:pPr>
  </w:style>
  <w:style w:type="character" w:styleId="30" w:customStyle="true">
    <w:name w:val="Заголовок 3 Знак"/>
    <w:basedOn w:val="a0"/>
    <w:link w:val="3"/>
    <w:uiPriority w:val="9"/>
    <w:rsid w:val="00C319F2"/>
    <w:rPr>
      <w:rFonts w:ascii="Times New Roman" w:hAnsi="Times New Roman" w:eastAsiaTheme="majorEastAsia" w:cstheme="majorBidi"/>
      <w:sz w:val="24"/>
      <w:szCs w:val="24"/>
    </w:rPr>
  </w:style>
  <w:style w:type="table" w:styleId="a4">
    <w:name w:val="Table Grid"/>
    <w:basedOn w:val="a1"/>
    <w:uiPriority w:val="39"/>
    <w:rsid w:val="00E23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16</ap:TotalTime>
  <ap:Pages>1</ap:Pages>
  <ap:Words>41</ap:Words>
  <ap:Characters>235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OrSMU</ap:Company>
  <ap:LinksUpToDate>false</ap:LinksUpToDate>
  <ap:CharactersWithSpaces>275</ap:CharactersWithSpaces>
  <ap:SharedDoc>false</ap:SharedDoc>
  <ap:HyperlinksChanged>false</ap:HyperlinksChanged>
  <ap:AppVersion>15.0000</ap:AppVersion>
</ap:Properties>
</file>